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rPr>
          <w:rFonts w:ascii="SimHei" w:eastAsia="SimHei" w:hint="eastAsia"/>
        </w:rPr>
      </w:pPr>
      <w:bookmarkStart w:id="0" w:name="_GoBack"/>
      <w:bookmarkEnd w:id="0"/>
      <w:r>
        <w:rPr>
          <w:rFonts w:ascii="SimHei" w:eastAsia="SimHei" w:hint="eastAsia"/>
        </w:rPr>
        <w:t>附件1</w:t>
      </w:r>
    </w:p>
    <w:p>
      <w:pPr>
        <w:spacing w:line="360" w:lineRule="auto"/>
        <w:ind w:firstLine="420"/>
        <w:jc w:val="center"/>
        <w:rPr>
          <w:rFonts w:ascii="SimSun" w:eastAsia="SimSun" w:hAnsi="SimSun" w:hint="eastAsia"/>
          <w:b/>
          <w:sz w:val="44"/>
          <w:szCs w:val="44"/>
        </w:rPr>
      </w:pPr>
      <w:r>
        <w:rPr>
          <w:rFonts w:ascii="SimSun" w:eastAsia="SimSun" w:hAnsi="SimSun" w:hint="eastAsia"/>
          <w:b/>
          <w:sz w:val="44"/>
          <w:szCs w:val="44"/>
        </w:rPr>
        <w:t>龙岗区2019年重大项目基本申报条件</w:t>
      </w:r>
    </w:p>
    <w:p>
      <w:pPr>
        <w:spacing w:line="200" w:lineRule="exact"/>
        <w:ind w:firstLineChars="200" w:firstLine="622"/>
        <w:rPr>
          <w:rFonts w:hint="eastAsia"/>
          <w:szCs w:val="21"/>
        </w:rPr>
      </w:pPr>
    </w:p>
    <w:p>
      <w:pPr>
        <w:widowControl/>
        <w:spacing w:line="20" w:lineRule="exact"/>
        <w:rPr>
          <w:rFonts w:hAnsi="SimSun" w:cs="SimSun" w:hint="eastAsia"/>
          <w:b/>
          <w:bCs/>
          <w:kern w:val="0"/>
          <w:sz w:val="24"/>
        </w:rPr>
      </w:pPr>
    </w:p>
    <w:tbl>
      <w:tblPr>
        <w:tblpPr w:leftFromText="180" w:rightFromText="180" w:vertAnchor="text" w:horzAnchor="page" w:tblpX="1879" w:tblpY="18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5909"/>
        <w:gridCol w:w="1155"/>
      </w:tblGrid>
      <w:tr>
        <w:trPr>
          <w:tblHeader/>
        </w:trPr>
        <w:tc>
          <w:tcPr>
            <w:tcW w:w="1331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行业</w:t>
            </w:r>
            <w:r>
              <w:rPr>
                <w:rFonts w:eastAsia="仿宋"/>
                <w:b/>
                <w:sz w:val="24"/>
              </w:rPr>
              <w:t>分类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包含领域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总投资（亿元）</w:t>
            </w:r>
          </w:p>
        </w:tc>
      </w:tr>
      <w:tr>
        <w:trPr>
          <w:trHeight w:val="721"/>
        </w:trPr>
        <w:tc>
          <w:tcPr>
            <w:tcW w:w="1331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战略性新兴产业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 w:hint="eastAsia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新一代信息技术、高端装备制造、绿色低碳、生物医药、数字经济、新材料、海洋经济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0.8</w:t>
            </w:r>
          </w:p>
        </w:tc>
      </w:tr>
      <w:tr>
        <w:trPr>
          <w:trHeight w:val="701"/>
        </w:trPr>
        <w:tc>
          <w:tcPr>
            <w:tcW w:w="1331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先进</w:t>
            </w:r>
            <w:r>
              <w:rPr>
                <w:rFonts w:eastAsia="仿宋"/>
                <w:b/>
                <w:kern w:val="0"/>
                <w:sz w:val="24"/>
              </w:rPr>
              <w:t>制造业和优势传统产业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航空航天、海工装备、汽车零部件、汽车电子、精细化工、芯片制造、光电显示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1.5</w:t>
            </w:r>
          </w:p>
        </w:tc>
      </w:tr>
      <w:tr>
        <w:trPr>
          <w:trHeight w:val="572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汽车整车、船舶制造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10</w:t>
            </w:r>
          </w:p>
        </w:tc>
      </w:tr>
      <w:tr>
        <w:trPr>
          <w:trHeight w:val="538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黄金珠宝、钟表、服装、眼镜、家具等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0.8</w:t>
            </w:r>
          </w:p>
        </w:tc>
      </w:tr>
      <w:tr>
        <w:trPr>
          <w:trHeight w:val="447"/>
        </w:trPr>
        <w:tc>
          <w:tcPr>
            <w:tcW w:w="1331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现代服务业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 w:hint="eastAsia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旅游、商贸会展、现代物流业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</w:t>
            </w:r>
          </w:p>
        </w:tc>
      </w:tr>
      <w:tr>
        <w:trPr>
          <w:trHeight w:val="697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 w:hint="eastAsia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现代金融、软件和信息服务业、科学研究和技术服务</w:t>
            </w: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lastRenderedPageBreak/>
              <w:t>业、租赁和商务服务业、专业服务业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lastRenderedPageBreak/>
              <w:t>3</w:t>
            </w:r>
          </w:p>
        </w:tc>
      </w:tr>
      <w:tr>
        <w:trPr>
          <w:trHeight w:val="551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总部经济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 w:hint="eastAsia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3</w:t>
            </w:r>
          </w:p>
        </w:tc>
      </w:tr>
      <w:tr>
        <w:trPr>
          <w:trHeight w:val="845"/>
        </w:trPr>
        <w:tc>
          <w:tcPr>
            <w:tcW w:w="1331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创新</w:t>
            </w:r>
            <w:r>
              <w:rPr>
                <w:rFonts w:eastAsia="仿宋"/>
                <w:b/>
                <w:kern w:val="0"/>
                <w:sz w:val="24"/>
              </w:rPr>
              <w:t>能力建设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重大科技基础设施：国家级创新平台、国家大科学装置、深圳市重大科技基础设施、基础研究机构、诺贝尔奖科学家实验室等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0.8</w:t>
            </w:r>
          </w:p>
        </w:tc>
      </w:tr>
      <w:tr>
        <w:trPr>
          <w:trHeight w:val="745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创新平台及科研机构：创新中心、新型科研机构、重点实验室、工程实验室、工程技术研究中心、公共技术服务平台等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0.3</w:t>
            </w:r>
          </w:p>
        </w:tc>
      </w:tr>
      <w:tr>
        <w:trPr>
          <w:trHeight w:val="799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成果转化平台：孵化平台、产业技术创新联盟、技术转移转化产业园、军民融合创新研究院等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0.3</w:t>
            </w:r>
          </w:p>
        </w:tc>
      </w:tr>
      <w:tr>
        <w:trPr>
          <w:trHeight w:val="1542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创新技术（适用于中小微企业）：5G通信、基因技术、细胞治疗、高端材料、人工智能、3D打印技术、激光微纳技术、VR技术等前沿技术开发、重大科技攻关项目、“登峰计划”项目、颠覆性技术创新等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0.3</w:t>
            </w:r>
          </w:p>
        </w:tc>
      </w:tr>
      <w:tr>
        <w:trPr>
          <w:trHeight w:val="598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Ansi="FangSong_GB2312" w:cs="FangSong_GB2312" w:hint="eastAsia"/>
                <w:sz w:val="24"/>
              </w:rPr>
            </w:pPr>
            <w:r>
              <w:rPr>
                <w:rFonts w:hAnsi="FangSong_GB2312" w:cs="FangSong_GB2312" w:hint="eastAsia"/>
                <w:sz w:val="24"/>
              </w:rPr>
              <w:t>创新能力建设配套服务：知识产权运营中心、科技中介机构等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0.3</w:t>
            </w:r>
          </w:p>
        </w:tc>
      </w:tr>
      <w:tr>
        <w:trPr>
          <w:trHeight w:val="598"/>
        </w:trPr>
        <w:tc>
          <w:tcPr>
            <w:tcW w:w="133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社会</w:t>
            </w:r>
            <w:r>
              <w:rPr>
                <w:rFonts w:eastAsia="仿宋"/>
                <w:b/>
                <w:sz w:val="24"/>
              </w:rPr>
              <w:t>民生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医疗、卫生、教育、民政、气象、文体、公园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0.6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人才住房和保障性住房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0.6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电信网、广播电视网、互联网建设及升级改造，三网融</w:t>
            </w: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lastRenderedPageBreak/>
              <w:t>合工程，有利于提高公共服务水平的智慧应用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Ansi="SimSun" w:cs="SimSun" w:hint="eastAsia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lastRenderedPageBreak/>
              <w:t>0.6</w:t>
            </w:r>
          </w:p>
        </w:tc>
      </w:tr>
      <w:tr>
        <w:trPr>
          <w:trHeight w:val="598"/>
        </w:trPr>
        <w:tc>
          <w:tcPr>
            <w:tcW w:w="133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综合</w:t>
            </w:r>
            <w:r>
              <w:rPr>
                <w:rFonts w:eastAsia="仿宋"/>
                <w:b/>
                <w:sz w:val="24"/>
              </w:rPr>
              <w:t>交通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国家铁路、城际和城市轨道交通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15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综合交通枢纽及配套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Ansi="SimSun" w:cs="SimSun" w:hint="eastAsia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10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中小运量轨道交通系统（单轨、有轨电车等）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Ansi="SimSun" w:cs="SimSun" w:hint="eastAsia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10</w:t>
            </w:r>
          </w:p>
        </w:tc>
      </w:tr>
      <w:tr>
        <w:trPr>
          <w:trHeight w:val="2167"/>
        </w:trPr>
        <w:tc>
          <w:tcPr>
            <w:tcW w:w="1331" w:type="dxa"/>
            <w:vMerge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Ansi="FangSong_GB2312" w:cs="FangSong_GB2312" w:hint="eastAsia"/>
                <w:kern w:val="0"/>
                <w:sz w:val="24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城市高快速路网、干线性主干道、国道、省道等改造，重要过境口岸、全市性综合交通枢纽场站，跨境、跨区域和城市的重要桥梁及隧道工程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1.5</w:t>
            </w:r>
          </w:p>
        </w:tc>
      </w:tr>
      <w:tr>
        <w:trPr>
          <w:trHeight w:val="598"/>
        </w:trPr>
        <w:tc>
          <w:tcPr>
            <w:tcW w:w="1331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城市</w:t>
            </w:r>
            <w:r>
              <w:rPr>
                <w:rFonts w:eastAsia="仿宋"/>
                <w:b/>
                <w:kern w:val="0"/>
                <w:sz w:val="24"/>
              </w:rPr>
              <w:t>安全</w:t>
            </w:r>
            <w:r>
              <w:rPr>
                <w:rFonts w:eastAsia="仿宋" w:hint="eastAsia"/>
                <w:b/>
                <w:kern w:val="0"/>
                <w:sz w:val="24"/>
              </w:rPr>
              <w:t>和</w:t>
            </w:r>
            <w:r>
              <w:rPr>
                <w:rFonts w:eastAsia="仿宋"/>
                <w:b/>
                <w:kern w:val="0"/>
                <w:sz w:val="24"/>
              </w:rPr>
              <w:t>环境资源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公共安全工程项目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0.8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石油和天然气的接收、储存、输送工程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4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电厂、输变电建设工程和电网改造工程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2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废物再利用和资源化项目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1.5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河流整治、污水处理厂及其配套管网、截污和排水管网、水库、水厂、引水工程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SimSun" w:cs="SimSun" w:hint="eastAsia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0.8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可再生能源利用和开发（风能、太阳能、水能、生物质能、海洋能等非化石能源）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0.8</w:t>
            </w:r>
          </w:p>
        </w:tc>
      </w:tr>
      <w:tr>
        <w:trPr>
          <w:trHeight w:val="598"/>
        </w:trPr>
        <w:tc>
          <w:tcPr>
            <w:tcW w:w="1331" w:type="dxa"/>
            <w:vMerge/>
          </w:tcPr>
          <w:p>
            <w:pPr>
              <w:spacing w:before="100" w:beforeAutospacing="1" w:after="100" w:afterAutospacing="1" w:line="360" w:lineRule="exac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rFonts w:eastAsia="仿宋" w:hint="eastAsia"/>
                <w:kern w:val="0"/>
                <w:sz w:val="24"/>
              </w:rPr>
            </w:pPr>
            <w:r>
              <w:rPr>
                <w:rFonts w:cs="FangSong_GB2312" w:hint="eastAsia"/>
                <w:kern w:val="0"/>
                <w:sz w:val="24"/>
                <w:szCs w:val="24"/>
                <w:lang w:bidi="ar"/>
              </w:rPr>
              <w:t>生活垃圾处理项目、余泥渣土受纳场项目、海绵城市项目、综合管廊项目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Ansi="SimSun" w:cs="SimSun"/>
                <w:kern w:val="0"/>
                <w:sz w:val="24"/>
              </w:rPr>
            </w:pPr>
            <w:r>
              <w:rPr>
                <w:rFonts w:hAnsi="SimSun" w:cs="SimSun" w:hint="eastAsia"/>
                <w:kern w:val="0"/>
                <w:sz w:val="24"/>
              </w:rPr>
              <w:t>0.8</w:t>
            </w:r>
          </w:p>
        </w:tc>
      </w:tr>
      <w:tr>
        <w:trPr>
          <w:trHeight w:val="598"/>
        </w:trPr>
        <w:tc>
          <w:tcPr>
            <w:tcW w:w="133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城市</w:t>
            </w:r>
            <w:r>
              <w:rPr>
                <w:rFonts w:eastAsia="仿宋"/>
                <w:b/>
                <w:sz w:val="24"/>
              </w:rPr>
              <w:t>更新</w:t>
            </w:r>
          </w:p>
        </w:tc>
        <w:tc>
          <w:tcPr>
            <w:tcW w:w="5909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cs="FangSong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hAnsi="FangSong_GB2312" w:cs="FangSong_GB2312" w:hint="eastAsia"/>
                <w:kern w:val="0"/>
                <w:sz w:val="24"/>
              </w:rPr>
              <w:t>符合《深圳市龙岗区城市更新实施办法》和《深圳市龙岗区人民政府关于进一步加强和改进城市更新工作的意见》有关规定，且已列入深圳市城市更新单元计划、拟拆除重建用地面积2万平方米以上的城市更新建设项目。</w:t>
            </w:r>
          </w:p>
        </w:tc>
        <w:tc>
          <w:tcPr>
            <w:tcW w:w="115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Ansi="SimSun" w:cs="SimSun" w:hint="eastAsia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15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361" w:gutter="0"/>
      <w:cols w:space="72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楷体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around" w:vAnchor="text" w:hAnchor="page" w:x="1475" w:y="27"/>
      <w:rPr>
        <w:rStyle w:val="PageNumber"/>
        <w:rFonts w:ascii="SimSun" w:eastAsia="SimSun" w:hAnsi="SimSun"/>
        <w:sz w:val="28"/>
        <w:szCs w:val="28"/>
      </w:rPr>
    </w:pPr>
    <w:r>
      <w:rPr>
        <w:rStyle w:val="PageNumber"/>
        <w:rFonts w:ascii="SimSun" w:eastAsia="SimSun" w:hAnsi="SimSun" w:hint="eastAsia"/>
        <w:sz w:val="28"/>
        <w:szCs w:val="28"/>
      </w:rPr>
      <w:t>-</w:t>
    </w:r>
    <w:r>
      <w:rPr>
        <w:rFonts w:ascii="SimSun" w:eastAsia="SimSun" w:hAnsi="SimSun"/>
        <w:sz w:val="28"/>
        <w:szCs w:val="28"/>
      </w:rPr>
      <w:fldChar w:fldCharType="begin"/>
    </w:r>
    <w:r>
      <w:rPr>
        <w:rStyle w:val="PageNumber"/>
        <w:rFonts w:ascii="SimSun" w:eastAsia="SimSun" w:hAnsi="SimSun"/>
        <w:sz w:val="28"/>
        <w:szCs w:val="28"/>
      </w:rPr>
      <w:instrText xml:space="preserve">PAGE  </w:instrText>
    </w:r>
    <w:r>
      <w:rPr>
        <w:rFonts w:ascii="SimSun" w:eastAsia="SimSun" w:hAnsi="SimSun"/>
        <w:sz w:val="28"/>
        <w:szCs w:val="28"/>
      </w:rPr>
      <w:fldChar w:fldCharType="separate"/>
    </w:r>
    <w:r>
      <w:rPr>
        <w:rStyle w:val="PageNumber"/>
        <w:rFonts w:ascii="SimSun" w:eastAsia="SimSun" w:hAnsi="SimSun"/>
        <w:sz w:val="28"/>
        <w:szCs w:val="28"/>
        <w:lang w:val="en-US" w:eastAsia="en-US"/>
      </w:rPr>
      <w:t>4</w:t>
    </w:r>
    <w:r>
      <w:rPr>
        <w:rFonts w:ascii="SimSun" w:eastAsia="SimSun" w:hAnsi="SimSun"/>
        <w:sz w:val="28"/>
        <w:szCs w:val="28"/>
      </w:rPr>
      <w:fldChar w:fldCharType="end"/>
    </w:r>
    <w:r>
      <w:rPr>
        <w:rStyle w:val="PageNumber"/>
        <w:rFonts w:ascii="SimSun" w:eastAsia="SimSun" w:hAnsi="SimSun" w:hint="eastAsia"/>
        <w:sz w:val="28"/>
        <w:szCs w:val="28"/>
      </w:rPr>
      <w:t>-</w:t>
    </w:r>
  </w:p>
  <w:p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around" w:vAnchor="text" w:hAnchor="margin" w:xAlign="outside" w:y="1"/>
      <w:rPr>
        <w:rStyle w:val="PageNumber"/>
        <w:rFonts w:ascii="SimSun" w:eastAsia="SimSun" w:hAnsi="SimSun"/>
        <w:sz w:val="28"/>
        <w:szCs w:val="28"/>
      </w:rPr>
    </w:pPr>
    <w:r>
      <w:rPr>
        <w:rStyle w:val="PageNumber"/>
        <w:rFonts w:ascii="SimSun" w:eastAsia="SimSun" w:hAnsi="SimSun" w:hint="eastAsia"/>
        <w:sz w:val="28"/>
        <w:szCs w:val="28"/>
      </w:rPr>
      <w:t>-</w:t>
    </w:r>
    <w:r>
      <w:rPr>
        <w:rFonts w:ascii="SimSun" w:eastAsia="SimSun" w:hAnsi="SimSun"/>
        <w:sz w:val="28"/>
        <w:szCs w:val="28"/>
      </w:rPr>
      <w:fldChar w:fldCharType="begin"/>
    </w:r>
    <w:r>
      <w:rPr>
        <w:rStyle w:val="PageNumber"/>
        <w:rFonts w:ascii="SimSun" w:eastAsia="SimSun" w:hAnsi="SimSun"/>
        <w:sz w:val="28"/>
        <w:szCs w:val="28"/>
      </w:rPr>
      <w:instrText xml:space="preserve">PAGE  </w:instrText>
    </w:r>
    <w:r>
      <w:rPr>
        <w:rFonts w:ascii="SimSun" w:eastAsia="SimSun" w:hAnsi="SimSun"/>
        <w:sz w:val="28"/>
        <w:szCs w:val="28"/>
      </w:rPr>
      <w:fldChar w:fldCharType="separate"/>
    </w:r>
    <w:r>
      <w:rPr>
        <w:rStyle w:val="PageNumber"/>
        <w:rFonts w:ascii="SimSun" w:eastAsia="SimSun" w:hAnsi="SimSun"/>
        <w:sz w:val="28"/>
        <w:szCs w:val="28"/>
        <w:lang w:val="en-US" w:eastAsia="en-US"/>
      </w:rPr>
      <w:t>3</w:t>
    </w:r>
    <w:r>
      <w:rPr>
        <w:rFonts w:ascii="SimSun" w:eastAsia="SimSun" w:hAnsi="SimSun"/>
        <w:sz w:val="28"/>
        <w:szCs w:val="28"/>
      </w:rPr>
      <w:fldChar w:fldCharType="end"/>
    </w:r>
    <w:r>
      <w:rPr>
        <w:rStyle w:val="PageNumber"/>
        <w:rFonts w:ascii="SimSun" w:eastAsia="SimSun" w:hAnsi="SimSun" w:hint="eastAsia"/>
        <w:sz w:val="28"/>
        <w:szCs w:val="28"/>
      </w:rPr>
      <w:t>-</w:t>
    </w:r>
  </w:p>
  <w:p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trackRevisions/>
  <w:doNotTrackMoves/>
  <w:defaultTabStop w:val="420"/>
  <w:evenAndOddHeaders/>
  <w:drawingGridHorizontalSpacing w:val="311"/>
  <w:drawingGridVerticalSpacing w:val="5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E9F77CD6-B0BD-49E3-91D8-1D866F37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FangSong_GB2312" w:eastAsia="FangSong_GB2312" w:hAnsi="Times"/>
      <w:kern w:val="2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60" w:after="260" w:line="416" w:lineRule="auto"/>
      <w:outlineLvl w:val="1"/>
    </w:pPr>
    <w:rPr>
      <w:rFonts w:ascii="Cambria" w:eastAsia="SimSun" w:hAnsi="Cambria"/>
      <w:b/>
      <w:bCs/>
    </w:rPr>
  </w:style>
  <w:style w:type="paragraph" w:styleId="Heading3">
    <w:name w:val="heading 3"/>
    <w:basedOn w:val="Normal"/>
    <w:next w:val="NormalIndent"/>
    <w:link w:val="Heading3Char"/>
    <w:qFormat/>
    <w:pPr>
      <w:keepNext/>
      <w:keepLines/>
      <w:spacing w:before="1000" w:after="400"/>
      <w:jc w:val="center"/>
      <w:outlineLvl w:val="2"/>
    </w:pPr>
    <w:rPr>
      <w:rFonts w:ascii="文鼎小标宋简" w:eastAsia="文鼎小标宋简" w:hAnsi="Times New Roman"/>
      <w:sz w:val="44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SimSun" w:hAnsi="Cambria" w:cs="Times New Roman"/>
      <w:b/>
      <w:bCs/>
      <w:kern w:val="2"/>
      <w:sz w:val="32"/>
      <w:szCs w:val="32"/>
    </w:rPr>
  </w:style>
  <w:style w:type="character" w:customStyle="1" w:styleId="BalloonTextChar">
    <w:name w:val="Balloon Text Char"/>
    <w:link w:val="BalloonText"/>
    <w:rPr>
      <w:kern w:val="2"/>
      <w:sz w:val="18"/>
      <w:szCs w:val="18"/>
    </w:rPr>
  </w:style>
  <w:style w:type="character" w:customStyle="1" w:styleId="Heading1Char">
    <w:name w:val="Heading 1 Char"/>
    <w:link w:val="Heading1"/>
    <w:rPr>
      <w:rFonts w:ascii="FangSong_GB2312" w:eastAsia="FangSong_GB2312" w:hAnsi="Times"/>
      <w:b/>
      <w:bCs/>
      <w:kern w:val="44"/>
      <w:sz w:val="44"/>
      <w:szCs w:val="44"/>
    </w:rPr>
  </w:style>
  <w:style w:type="character" w:styleId="Emphasis">
    <w:name w:val="Emphasis"/>
    <w:qFormat/>
    <w:rPr>
      <w:i w:val="0"/>
      <w:iCs w:val="0"/>
      <w:color w:val="CC0000"/>
    </w:rPr>
  </w:style>
  <w:style w:type="character" w:customStyle="1" w:styleId="Heading3Char">
    <w:name w:val="Heading 3 Char"/>
    <w:link w:val="Heading3"/>
    <w:rPr>
      <w:rFonts w:ascii="文鼎小标宋简" w:eastAsia="文鼎小标宋简"/>
      <w:kern w:val="2"/>
      <w:sz w:val="44"/>
      <w:lang w:val="en-US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link w:val="Footer"/>
    <w:rPr>
      <w:rFonts w:ascii="FangSong_GB2312" w:eastAsia="FangSong_GB2312" w:hAnsi="Times"/>
      <w:kern w:val="2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Pr>
      <w:rFonts w:ascii="FangSong_GB2312" w:eastAsia="FangSong_GB2312"/>
      <w:kern w:val="2"/>
      <w:sz w:val="32"/>
    </w:rPr>
  </w:style>
  <w:style w:type="character" w:customStyle="1" w:styleId="15">
    <w:name w:val="15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p28">
    <w:name w:val="p28"/>
    <w:basedOn w:val="Normal"/>
    <w:pPr>
      <w:widowControl/>
      <w:ind w:left="840"/>
    </w:pPr>
    <w:rPr>
      <w:rFonts w:ascii="Times New Roman" w:eastAsia="SimSun" w:hAnsi="Times New Roman"/>
      <w:kern w:val="0"/>
      <w:sz w:val="21"/>
      <w:szCs w:val="21"/>
    </w:rPr>
  </w:style>
  <w:style w:type="paragraph" w:customStyle="1" w:styleId="CharCharCharCharCharChar1">
    <w:name w:val=" Char Char Char Char Char Char1"/>
    <w:basedOn w:val="Normal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Normal"/>
    <w:rPr>
      <w:rFonts w:ascii="Times New Roman" w:eastAsia="SimSun" w:hAnsi="Times New Roman"/>
      <w:sz w:val="21"/>
      <w:szCs w:val="24"/>
    </w:rPr>
  </w:style>
  <w:style w:type="paragraph" w:customStyle="1" w:styleId="CharCharCharCharCharCharCharCharCharChar">
    <w:name w:val=" Char Char Char Char Char Char Char Char Char Char"/>
    <w:basedOn w:val="Normal"/>
    <w:rPr>
      <w:rFonts w:ascii="Times New Roman" w:eastAsia="SimSun" w:hAnsi="Times New Roman"/>
      <w:sz w:val="21"/>
      <w:szCs w:val="24"/>
    </w:rPr>
  </w:style>
  <w:style w:type="paragraph" w:styleId="BodyTextIndent">
    <w:name w:val="Body Text Indent"/>
    <w:basedOn w:val="Normal"/>
    <w:link w:val="BodyTextIndentChar"/>
    <w:pPr>
      <w:ind w:firstLine="630"/>
    </w:pPr>
    <w:rPr>
      <w:rFonts w:hAnsi="Times New Roman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2CharCharCharChar">
    <w:name w:val=" Char Char Char Char Char Char2 Char Char Char Char"/>
    <w:basedOn w:val="Normal"/>
    <w:rPr>
      <w:rFonts w:ascii="Times New Roman" w:eastAsia="SimSun" w:hAnsi="Times New Roman"/>
      <w:sz w:val="21"/>
      <w:szCs w:val="24"/>
    </w:rPr>
  </w:style>
  <w:style w:type="paragraph" w:styleId="TOC2">
    <w:name w:val="toc 2"/>
    <w:basedOn w:val="Normal"/>
    <w:next w:val="Normal"/>
    <w:uiPriority w:val="39"/>
    <w:pPr>
      <w:ind w:leftChars="200" w:left="420"/>
    </w:pPr>
    <w:rPr>
      <w:rFonts w:ascii="Calibri" w:eastAsia="SimSun" w:hAnsi="Calibri"/>
      <w:sz w:val="21"/>
      <w:szCs w:val="22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rPr>
      <w:rFonts w:ascii="Times New Roman" w:eastAsia="SimSun" w:hAnsi="Times New Roman"/>
      <w:sz w:val="18"/>
      <w:szCs w:val="18"/>
    </w:rPr>
  </w:style>
  <w:style w:type="paragraph" w:customStyle="1" w:styleId="26015">
    <w:name w:val="样式 标题 2 + 黑体 段前: 6 磅 段后: 0 磅 行距: 1.5 倍行距"/>
    <w:basedOn w:val="Heading2"/>
    <w:pPr>
      <w:spacing w:before="120" w:after="0" w:line="360" w:lineRule="auto"/>
      <w:jc w:val="center"/>
    </w:pPr>
    <w:rPr>
      <w:rFonts w:ascii="SimHei" w:eastAsia="SimHei" w:hAnsi="SimHei" w:cs="SimSun"/>
      <w:b w:val="0"/>
      <w:szCs w:val="20"/>
    </w:rPr>
  </w:style>
  <w:style w:type="paragraph" w:customStyle="1" w:styleId="CharCharCharCharCharCharChar">
    <w:name w:val=" Char Char Char Char Char Char Char"/>
    <w:basedOn w:val="Normal"/>
    <w:pPr>
      <w:widowControl/>
      <w:spacing w:after="160" w:line="240" w:lineRule="exact"/>
      <w:jc w:val="left"/>
    </w:pPr>
    <w:rPr>
      <w:rFonts w:ascii="Calibri" w:eastAsia="SimSun" w:hAnsi="Calibri"/>
      <w:sz w:val="21"/>
      <w:szCs w:val="22"/>
    </w:rPr>
  </w:style>
  <w:style w:type="paragraph" w:customStyle="1" w:styleId="NewNew">
    <w:name w:val="正文 New New"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Char1">
    <w:name w:val="Char1"/>
    <w:basedOn w:val="Normal"/>
    <w:rPr>
      <w:rFonts w:ascii="Arial" w:eastAsia="NSimSun" w:hAnsi="Arial" w:cs="Arial"/>
      <w:sz w:val="24"/>
      <w:szCs w:val="20"/>
    </w:rPr>
  </w:style>
  <w:style w:type="paragraph" w:customStyle="1" w:styleId="a">
    <w:name w:val="主题词"/>
    <w:basedOn w:val="Normal"/>
    <w:pPr>
      <w:framePr w:wrap="notBeside" w:hAnchor="margin" w:yAlign="bottom"/>
      <w:ind w:left="1246" w:hanging="1246"/>
    </w:pPr>
    <w:rPr>
      <w:rFonts w:ascii="Times New Roman" w:eastAsia="文鼎小标宋简" w:hAnsi="Times New Roman"/>
      <w:szCs w:val="20"/>
    </w:rPr>
  </w:style>
  <w:style w:type="paragraph" w:customStyle="1" w:styleId="a0">
    <w:name w:val="抄送"/>
    <w:basedOn w:val="a"/>
    <w:pPr>
      <w:framePr w:wrap="notBeside"/>
      <w:ind w:left="0" w:firstLine="0"/>
    </w:pPr>
    <w:rPr>
      <w:rFonts w:eastAsia="FangSong_GB2312"/>
    </w:rPr>
  </w:style>
  <w:style w:type="paragraph" w:styleId="TOC1">
    <w:name w:val="toc 1"/>
    <w:basedOn w:val="Normal"/>
    <w:next w:val="Normal"/>
    <w:uiPriority w:val="39"/>
    <w:pPr>
      <w:tabs>
        <w:tab w:val="right" w:leader="middleDot" w:pos="8380"/>
      </w:tabs>
      <w:spacing w:line="500" w:lineRule="exact"/>
      <w:ind w:leftChars="100" w:rightChars="100"/>
      <w:jc w:val="left"/>
    </w:pPr>
    <w:rPr>
      <w:rFonts w:ascii="方正楷体简体" w:eastAsia="SimHei" w:hAnsi="方正小标宋简体"/>
      <w:sz w:val="24"/>
    </w:rPr>
  </w:style>
  <w:style w:type="paragraph" w:styleId="TOC3">
    <w:name w:val="toc 3"/>
    <w:basedOn w:val="Normal"/>
    <w:next w:val="Normal"/>
    <w:pPr>
      <w:ind w:leftChars="400" w:left="840"/>
    </w:pPr>
    <w:rPr>
      <w:rFonts w:ascii="Calibri" w:eastAsia="SimSun" w:hAnsi="Calibri"/>
      <w:sz w:val="21"/>
      <w:szCs w:val="22"/>
    </w:rPr>
  </w:style>
  <w:style w:type="paragraph" w:customStyle="1" w:styleId="a1">
    <w:name w:val="附件"/>
    <w:basedOn w:val="Normal"/>
    <w:pPr>
      <w:ind w:left="1638" w:hanging="1016"/>
    </w:pPr>
    <w:rPr>
      <w:rFonts w:ascii="Times New Roman" w:hAnsi="Times New Roman"/>
      <w:szCs w:val="20"/>
    </w:rPr>
  </w:style>
  <w:style w:type="paragraph" w:styleId="NormalWeb">
    <w:name w:val="Normal (Web)"/>
    <w:basedOn w:val="Normal"/>
    <w:pPr>
      <w:widowControl/>
      <w:spacing w:before="240" w:after="240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Indent">
    <w:name w:val="Normal Indent"/>
    <w:basedOn w:val="Normal"/>
    <w:pPr>
      <w:ind w:firstLineChars="200" w:firstLine="420"/>
    </w:pPr>
    <w:rPr>
      <w:rFonts w:ascii="Times New Roman" w:hAnsi="Times New Roman"/>
      <w:szCs w:val="20"/>
    </w:rPr>
  </w:style>
  <w:style w:type="paragraph" w:customStyle="1" w:styleId="p23">
    <w:name w:val="p23"/>
    <w:basedOn w:val="Normal"/>
    <w:pPr>
      <w:widowControl/>
      <w:spacing w:line="520" w:lineRule="atLeast"/>
      <w:ind w:firstLine="353"/>
    </w:pPr>
    <w:rPr>
      <w:rFonts w:ascii="Times New Roman" w:eastAsia="SimSun" w:hAnsi="Times New Roman"/>
      <w:b/>
      <w:bCs/>
      <w:kern w:val="0"/>
      <w:sz w:val="30"/>
      <w:szCs w:val="30"/>
    </w:rPr>
  </w:style>
  <w:style w:type="paragraph" w:customStyle="1" w:styleId="style0">
    <w:name w:val="style0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p19">
    <w:name w:val="p19"/>
    <w:basedOn w:val="Normal"/>
    <w:pPr>
      <w:widowControl/>
      <w:ind w:left="840"/>
    </w:pPr>
    <w:rPr>
      <w:rFonts w:ascii="Times New Roman" w:eastAsia="SimSun" w:hAnsi="Times New Roman"/>
      <w:kern w:val="0"/>
      <w:sz w:val="21"/>
      <w:szCs w:val="21"/>
    </w:rPr>
  </w:style>
  <w:style w:type="paragraph" w:customStyle="1" w:styleId="p29">
    <w:name w:val="p29"/>
    <w:basedOn w:val="Normal"/>
    <w:pPr>
      <w:widowControl/>
    </w:pPr>
    <w:rPr>
      <w:rFonts w:ascii="Times New Roman" w:eastAsia="SimSun" w:hAnsi="Times New Roman"/>
      <w:kern w:val="0"/>
      <w:sz w:val="21"/>
      <w:szCs w:val="21"/>
    </w:rPr>
  </w:style>
  <w:style w:type="paragraph" w:customStyle="1" w:styleId="p0">
    <w:name w:val="p0"/>
    <w:basedOn w:val="Normal"/>
    <w:pPr>
      <w:widowControl/>
      <w:jc w:val="left"/>
    </w:pPr>
    <w:rPr>
      <w:rFonts w:ascii="Times New Roman" w:eastAsia="SimSun" w:hAnsi="Times New Roman"/>
      <w:kern w:val="0"/>
      <w:sz w:val="21"/>
      <w:szCs w:val="21"/>
    </w:rPr>
  </w:style>
  <w:style w:type="paragraph" w:customStyle="1" w:styleId="160151">
    <w:name w:val="样式 标题 1 + 黑体 二号 段前: 6 磅 段后: 0 磅 行距: 1.5 倍行距1"/>
    <w:basedOn w:val="Heading1"/>
    <w:pPr>
      <w:spacing w:before="120" w:after="0" w:line="360" w:lineRule="auto"/>
      <w:jc w:val="center"/>
    </w:pPr>
    <w:rPr>
      <w:rFonts w:ascii="SimHei" w:eastAsia="SimHei" w:hAnsi="SimHei" w:cs="SimSun"/>
      <w:b w:val="0"/>
      <w:sz w:val="36"/>
      <w:szCs w:val="20"/>
    </w:rPr>
  </w:style>
  <w:style w:type="paragraph" w:customStyle="1" w:styleId="16015">
    <w:name w:val="样式 标题 1 + 黑体 二号 段前: 6 磅 段后: 0 磅 行距: 1.5 倍行距"/>
    <w:basedOn w:val="Heading1"/>
    <w:pPr>
      <w:spacing w:before="120" w:after="0" w:line="360" w:lineRule="auto"/>
      <w:jc w:val="center"/>
    </w:pPr>
    <w:rPr>
      <w:rFonts w:ascii="SimHei" w:eastAsia="SimHei" w:hAnsi="SimHei" w:cs="SimSun"/>
      <w:sz w:val="32"/>
      <w:szCs w:val="20"/>
    </w:rPr>
  </w:style>
  <w:style w:type="paragraph" w:customStyle="1" w:styleId="CharChar3">
    <w:name w:val="Char Char3"/>
    <w:basedOn w:val="Normal"/>
    <w:pPr>
      <w:widowControl/>
      <w:jc w:val="left"/>
    </w:pPr>
    <w:rPr>
      <w:rFonts w:ascii="Tahoma" w:eastAsia="SimSun" w:hAnsi="Tahoma" w:cs="Tahom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>MC SYSTEM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深发改〔2010〕　号　　　　　　　　　 　签发人：</dc:title>
  <dc:subject/>
  <dc:creator>MC SYSTEM</dc:creator>
  <cp:keywords/>
  <dc:description/>
  <cp:lastModifiedBy>word</cp:lastModifiedBy>
  <cp:revision>2</cp:revision>
  <cp:lastPrinted>2016-10-11T07:32:00Z</cp:lastPrinted>
  <dcterms:created xsi:type="dcterms:W3CDTF">2018-11-01T01:23:00Z</dcterms:created>
  <dcterms:modified xsi:type="dcterms:W3CDTF">2018-11-01T01:23:00Z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